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Style w:val="Estilo1"/>
        </w:rPr>
        <w:id w:val="1424993287"/>
        <w:placeholder>
          <w:docPart w:val="2717D0B5F38241EAB79F19CF014B127B"/>
        </w:placeholder>
        <w:text/>
      </w:sdtPr>
      <w:sdtEndPr>
        <w:rPr>
          <w:rStyle w:val="Estilo1"/>
        </w:rPr>
      </w:sdtEndPr>
      <w:sdtContent>
        <w:p w:rsidR="001E0421" w:rsidRDefault="00860E74" w:rsidP="001E0421">
          <w:pPr>
            <w:spacing w:after="0" w:line="240" w:lineRule="auto"/>
            <w:jc w:val="center"/>
            <w:rPr>
              <w:b/>
              <w:smallCaps/>
              <w:sz w:val="28"/>
              <w:szCs w:val="26"/>
            </w:rPr>
          </w:pPr>
          <w:r>
            <w:rPr>
              <w:rStyle w:val="Estilo1"/>
            </w:rPr>
            <w:t>Pró-Reitoria de vínculo</w:t>
          </w:r>
        </w:p>
      </w:sdtContent>
    </w:sdt>
    <w:p w:rsidR="00BA404B" w:rsidRPr="00D7481B" w:rsidRDefault="001E0421" w:rsidP="001E0421">
      <w:pPr>
        <w:jc w:val="center"/>
        <w:rPr>
          <w:rStyle w:val="TextodoEspaoReservado"/>
          <w:color w:val="000000" w:themeColor="text1"/>
          <w:sz w:val="24"/>
        </w:rPr>
      </w:pPr>
      <w:r w:rsidRPr="00D7481B">
        <w:rPr>
          <w:rStyle w:val="TextodoEspaoReservado"/>
          <w:color w:val="000000" w:themeColor="text1"/>
          <w:sz w:val="24"/>
        </w:rPr>
        <w:t>Nome Do Setor / D</w:t>
      </w:r>
      <w:r w:rsidR="00860E74" w:rsidRPr="00D7481B">
        <w:rPr>
          <w:rStyle w:val="TextodoEspaoReservado"/>
          <w:color w:val="000000" w:themeColor="text1"/>
          <w:sz w:val="24"/>
        </w:rPr>
        <w:t>epartamento / Divisão / Unidade</w:t>
      </w:r>
    </w:p>
    <w:p w:rsidR="00486EE3" w:rsidRPr="00486EE3" w:rsidRDefault="00486EE3" w:rsidP="00486EE3">
      <w:pPr>
        <w:spacing w:after="0"/>
        <w:jc w:val="center"/>
        <w:rPr>
          <w:b/>
          <w:smallCaps/>
          <w:sz w:val="24"/>
          <w:szCs w:val="26"/>
        </w:rPr>
      </w:pPr>
    </w:p>
    <w:p w:rsidR="00BA404B" w:rsidRDefault="00BA404B" w:rsidP="00BA404B">
      <w:pPr>
        <w:jc w:val="center"/>
        <w:rPr>
          <w:rFonts w:cstheme="minorHAnsi"/>
          <w:b/>
          <w:smallCaps/>
          <w:sz w:val="24"/>
          <w:szCs w:val="24"/>
        </w:rPr>
      </w:pPr>
      <w:r>
        <w:rPr>
          <w:rFonts w:cstheme="minorHAnsi"/>
          <w:b/>
          <w:smallCaps/>
          <w:sz w:val="24"/>
          <w:szCs w:val="24"/>
        </w:rPr>
        <w:t>Registro de ações de integração</w:t>
      </w:r>
    </w:p>
    <w:p w:rsidR="00486EE3" w:rsidRPr="007A7B33" w:rsidRDefault="00486EE3" w:rsidP="00BA404B">
      <w:pPr>
        <w:jc w:val="center"/>
        <w:rPr>
          <w:rFonts w:cstheme="minorHAnsi"/>
          <w:b/>
          <w:smallCaps/>
          <w:sz w:val="24"/>
          <w:szCs w:val="24"/>
        </w:rPr>
      </w:pPr>
    </w:p>
    <w:p w:rsidR="00EF6704" w:rsidRDefault="00EF6704" w:rsidP="00EF6704">
      <w:pPr>
        <w:pBdr>
          <w:top w:val="single" w:sz="12" w:space="1" w:color="0070C0"/>
          <w:bottom w:val="single" w:sz="12" w:space="1" w:color="0070C0"/>
        </w:pBdr>
        <w:jc w:val="both"/>
        <w:rPr>
          <w:color w:val="0070C0"/>
        </w:rPr>
      </w:pPr>
      <w:r w:rsidRPr="00AD50C7">
        <w:rPr>
          <w:b/>
          <w:smallCaps/>
          <w:color w:val="0070C0"/>
          <w:sz w:val="24"/>
          <w:szCs w:val="24"/>
        </w:rPr>
        <w:t>Conceito de Crítico</w:t>
      </w:r>
      <w:r w:rsidRPr="00AD50C7">
        <w:rPr>
          <w:b/>
          <w:color w:val="0070C0"/>
          <w:sz w:val="24"/>
          <w:szCs w:val="24"/>
        </w:rPr>
        <w:t>:</w:t>
      </w:r>
      <w:r w:rsidRPr="00AD50C7">
        <w:rPr>
          <w:color w:val="0070C0"/>
          <w:sz w:val="24"/>
          <w:szCs w:val="24"/>
        </w:rPr>
        <w:t xml:space="preserve"> </w:t>
      </w:r>
      <w:r>
        <w:rPr>
          <w:color w:val="0070C0"/>
          <w:sz w:val="24"/>
          <w:szCs w:val="24"/>
        </w:rPr>
        <w:t>P</w:t>
      </w:r>
      <w:r w:rsidRPr="00AD50C7">
        <w:rPr>
          <w:color w:val="0070C0"/>
          <w:sz w:val="24"/>
          <w:szCs w:val="24"/>
        </w:rPr>
        <w:t>rocessos críticos</w:t>
      </w:r>
      <w:r>
        <w:rPr>
          <w:color w:val="0070C0"/>
          <w:sz w:val="24"/>
          <w:szCs w:val="24"/>
        </w:rPr>
        <w:t xml:space="preserve"> são</w:t>
      </w:r>
      <w:r w:rsidRPr="00AD50C7">
        <w:rPr>
          <w:color w:val="0070C0"/>
          <w:sz w:val="24"/>
          <w:szCs w:val="24"/>
        </w:rPr>
        <w:t xml:space="preserve"> aqueles que</w:t>
      </w:r>
      <w:r>
        <w:rPr>
          <w:color w:val="0070C0"/>
          <w:sz w:val="24"/>
          <w:szCs w:val="24"/>
        </w:rPr>
        <w:t>,</w:t>
      </w:r>
      <w:r w:rsidRPr="00AD50C7">
        <w:rPr>
          <w:color w:val="0070C0"/>
          <w:sz w:val="24"/>
          <w:szCs w:val="24"/>
        </w:rPr>
        <w:t xml:space="preserve"> de alguma forma</w:t>
      </w:r>
      <w:r>
        <w:rPr>
          <w:color w:val="0070C0"/>
          <w:sz w:val="24"/>
          <w:szCs w:val="24"/>
        </w:rPr>
        <w:t>,</w:t>
      </w:r>
      <w:r w:rsidRPr="00AD50C7">
        <w:rPr>
          <w:color w:val="0070C0"/>
          <w:sz w:val="24"/>
          <w:szCs w:val="24"/>
        </w:rPr>
        <w:t xml:space="preserve"> apresentam dificuldades na sua execução </w:t>
      </w:r>
      <w:r>
        <w:rPr>
          <w:color w:val="0070C0"/>
          <w:sz w:val="24"/>
          <w:szCs w:val="24"/>
        </w:rPr>
        <w:t>devido à</w:t>
      </w:r>
      <w:r w:rsidR="00860E74">
        <w:rPr>
          <w:color w:val="0070C0"/>
          <w:sz w:val="24"/>
          <w:szCs w:val="24"/>
        </w:rPr>
        <w:t xml:space="preserve"> interação com outra</w:t>
      </w:r>
      <w:r w:rsidRPr="00AD50C7">
        <w:rPr>
          <w:color w:val="0070C0"/>
          <w:sz w:val="24"/>
          <w:szCs w:val="24"/>
        </w:rPr>
        <w:t xml:space="preserve">s </w:t>
      </w:r>
      <w:r w:rsidR="00860E74">
        <w:rPr>
          <w:color w:val="0070C0"/>
          <w:sz w:val="24"/>
          <w:szCs w:val="24"/>
        </w:rPr>
        <w:t>unidades</w:t>
      </w:r>
      <w:r w:rsidRPr="00AD50C7">
        <w:rPr>
          <w:color w:val="0070C0"/>
          <w:sz w:val="24"/>
          <w:szCs w:val="24"/>
        </w:rPr>
        <w:t>.</w:t>
      </w:r>
    </w:p>
    <w:p w:rsidR="00BA404B" w:rsidRPr="00310A7A" w:rsidRDefault="00BA404B" w:rsidP="00BA404B">
      <w:pPr>
        <w:pBdr>
          <w:top w:val="single" w:sz="12" w:space="1" w:color="0070C0"/>
          <w:bottom w:val="single" w:sz="12" w:space="1" w:color="0070C0"/>
        </w:pBdr>
        <w:jc w:val="both"/>
        <w:rPr>
          <w:rFonts w:ascii="Calibri" w:eastAsia="Calibri" w:hAnsi="Calibri" w:cs="Calibri"/>
          <w:color w:val="0070C0"/>
          <w:sz w:val="24"/>
          <w:szCs w:val="24"/>
        </w:rPr>
      </w:pPr>
      <w:r w:rsidRPr="00310A7A">
        <w:rPr>
          <w:rFonts w:ascii="Calibri" w:eastAsia="Calibri" w:hAnsi="Calibri" w:cs="Calibri"/>
          <w:b/>
          <w:smallCaps/>
          <w:color w:val="0070C0"/>
          <w:sz w:val="24"/>
          <w:szCs w:val="24"/>
        </w:rPr>
        <w:t>Conceito de</w:t>
      </w:r>
      <w:r>
        <w:rPr>
          <w:rFonts w:ascii="Calibri" w:eastAsia="Calibri" w:hAnsi="Calibri" w:cs="Calibri"/>
          <w:b/>
          <w:smallCaps/>
          <w:color w:val="0070C0"/>
          <w:sz w:val="24"/>
          <w:szCs w:val="24"/>
        </w:rPr>
        <w:t xml:space="preserve"> ações de integração</w:t>
      </w:r>
      <w:r w:rsidRPr="00310A7A">
        <w:rPr>
          <w:rFonts w:ascii="Calibri" w:eastAsia="Calibri" w:hAnsi="Calibri" w:cs="Calibri"/>
          <w:b/>
          <w:color w:val="0070C0"/>
          <w:sz w:val="24"/>
          <w:szCs w:val="24"/>
        </w:rPr>
        <w:t>:</w:t>
      </w:r>
      <w:r w:rsidRPr="00310A7A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Ações referentes a 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>integração dos processos d</w:t>
      </w:r>
      <w:r w:rsidR="00860E74">
        <w:rPr>
          <w:rFonts w:ascii="Calibri" w:eastAsia="Calibri" w:hAnsi="Calibri" w:cs="Calibri"/>
          <w:color w:val="0070C0"/>
          <w:sz w:val="24"/>
          <w:szCs w:val="24"/>
        </w:rPr>
        <w:t>a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 xml:space="preserve"> </w:t>
      </w:r>
      <w:r w:rsidR="00860E74">
        <w:rPr>
          <w:rFonts w:ascii="Calibri" w:eastAsia="Calibri" w:hAnsi="Calibri" w:cs="Calibri"/>
          <w:color w:val="0070C0"/>
          <w:sz w:val="24"/>
          <w:szCs w:val="24"/>
        </w:rPr>
        <w:t>unidade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 xml:space="preserve"> com os de outr</w:t>
      </w:r>
      <w:r w:rsidR="00860E74">
        <w:rPr>
          <w:rFonts w:ascii="Calibri" w:eastAsia="Calibri" w:hAnsi="Calibri" w:cs="Calibri"/>
          <w:color w:val="0070C0"/>
          <w:sz w:val="24"/>
          <w:szCs w:val="24"/>
        </w:rPr>
        <w:t>a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 xml:space="preserve">s </w:t>
      </w:r>
      <w:r w:rsidR="00860E74">
        <w:rPr>
          <w:rFonts w:ascii="Calibri" w:eastAsia="Calibri" w:hAnsi="Calibri" w:cs="Calibri"/>
          <w:color w:val="0070C0"/>
          <w:sz w:val="24"/>
          <w:szCs w:val="24"/>
        </w:rPr>
        <w:t>unidades</w:t>
      </w:r>
      <w:r>
        <w:rPr>
          <w:rFonts w:ascii="Calibri" w:eastAsia="Calibri" w:hAnsi="Calibri" w:cs="Calibri"/>
          <w:color w:val="0070C0"/>
          <w:sz w:val="24"/>
          <w:szCs w:val="24"/>
        </w:rPr>
        <w:t>.</w:t>
      </w:r>
      <w:r w:rsidRPr="00BA404B">
        <w:t xml:space="preserve"> 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>Essas ações de</w:t>
      </w:r>
      <w:r w:rsidR="00860E74">
        <w:rPr>
          <w:rFonts w:ascii="Calibri" w:eastAsia="Calibri" w:hAnsi="Calibri" w:cs="Calibri"/>
          <w:color w:val="0070C0"/>
          <w:sz w:val="24"/>
          <w:szCs w:val="24"/>
        </w:rPr>
        <w:t>vem envolver o contato com outra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 xml:space="preserve">s </w:t>
      </w:r>
      <w:r w:rsidR="00860E74">
        <w:rPr>
          <w:rFonts w:ascii="Calibri" w:eastAsia="Calibri" w:hAnsi="Calibri" w:cs="Calibri"/>
          <w:color w:val="0070C0"/>
          <w:sz w:val="24"/>
          <w:szCs w:val="24"/>
        </w:rPr>
        <w:t>unidades</w:t>
      </w:r>
      <w:r w:rsidRPr="00BA404B">
        <w:rPr>
          <w:rFonts w:ascii="Calibri" w:eastAsia="Calibri" w:hAnsi="Calibri" w:cs="Calibri"/>
          <w:color w:val="0070C0"/>
          <w:sz w:val="24"/>
          <w:szCs w:val="24"/>
        </w:rPr>
        <w:t>, realização de discussões sobre a forma como as interações são realizadas no contexto do processo e, se possível, a integração dos diagramas BPMN dos processos envolvidos</w:t>
      </w:r>
      <w:r w:rsidR="002B52B7">
        <w:rPr>
          <w:rFonts w:ascii="Calibri" w:eastAsia="Calibri" w:hAnsi="Calibri" w:cs="Calibri"/>
          <w:color w:val="0070C0"/>
          <w:sz w:val="24"/>
          <w:szCs w:val="24"/>
        </w:rPr>
        <w:t>.</w:t>
      </w:r>
    </w:p>
    <w:p w:rsidR="00486EE3" w:rsidRDefault="00486EE3" w:rsidP="002B52B7">
      <w:pPr>
        <w:spacing w:after="0" w:line="240" w:lineRule="auto"/>
        <w:rPr>
          <w:rFonts w:cstheme="minorHAnsi"/>
          <w:sz w:val="24"/>
          <w:szCs w:val="24"/>
        </w:rPr>
      </w:pPr>
    </w:p>
    <w:p w:rsidR="00486EE3" w:rsidRDefault="00486EE3" w:rsidP="002B52B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12438" w:type="dxa"/>
        <w:jc w:val="center"/>
        <w:tblLook w:val="04A0" w:firstRow="1" w:lastRow="0" w:firstColumn="1" w:lastColumn="0" w:noHBand="0" w:noVBand="1"/>
      </w:tblPr>
      <w:tblGrid>
        <w:gridCol w:w="1417"/>
        <w:gridCol w:w="11021"/>
      </w:tblGrid>
      <w:tr w:rsidR="007278D4" w:rsidRPr="00705E86" w:rsidTr="007278D4">
        <w:trPr>
          <w:trHeight w:val="397"/>
          <w:jc w:val="center"/>
        </w:trPr>
        <w:tc>
          <w:tcPr>
            <w:tcW w:w="1417" w:type="dxa"/>
            <w:shd w:val="clear" w:color="auto" w:fill="2F5496" w:themeFill="accent5" w:themeFillShade="BF"/>
          </w:tcPr>
          <w:p w:rsidR="007278D4" w:rsidRPr="00705E86" w:rsidRDefault="007278D4" w:rsidP="006B2E5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#</w:t>
            </w:r>
          </w:p>
        </w:tc>
        <w:tc>
          <w:tcPr>
            <w:tcW w:w="11021" w:type="dxa"/>
            <w:shd w:val="clear" w:color="auto" w:fill="2F5496" w:themeFill="accent5" w:themeFillShade="BF"/>
            <w:vAlign w:val="center"/>
          </w:tcPr>
          <w:p w:rsidR="007278D4" w:rsidRPr="00705E86" w:rsidRDefault="007278D4" w:rsidP="006B2E5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05E8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Processo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 Críticos</w:t>
            </w:r>
          </w:p>
        </w:tc>
      </w:tr>
      <w:tr w:rsidR="007278D4" w:rsidRPr="00BA404B" w:rsidTr="007278D4">
        <w:trPr>
          <w:trHeight w:val="565"/>
          <w:jc w:val="center"/>
        </w:trPr>
        <w:tc>
          <w:tcPr>
            <w:tcW w:w="1417" w:type="dxa"/>
            <w:vAlign w:val="center"/>
          </w:tcPr>
          <w:p w:rsidR="007278D4" w:rsidRPr="00BA404B" w:rsidRDefault="007278D4" w:rsidP="007278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1021" w:type="dxa"/>
            <w:vAlign w:val="center"/>
          </w:tcPr>
          <w:p w:rsidR="007278D4" w:rsidRPr="00BA404B" w:rsidRDefault="007278D4" w:rsidP="006B2E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78D4" w:rsidRPr="00BA404B" w:rsidTr="007278D4">
        <w:trPr>
          <w:trHeight w:val="565"/>
          <w:jc w:val="center"/>
        </w:trPr>
        <w:tc>
          <w:tcPr>
            <w:tcW w:w="1417" w:type="dxa"/>
            <w:vAlign w:val="center"/>
          </w:tcPr>
          <w:p w:rsidR="007278D4" w:rsidRPr="00BA404B" w:rsidRDefault="007278D4" w:rsidP="007278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11021" w:type="dxa"/>
            <w:vAlign w:val="center"/>
          </w:tcPr>
          <w:p w:rsidR="007278D4" w:rsidRPr="00BA404B" w:rsidRDefault="007278D4" w:rsidP="006B2E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78D4" w:rsidRPr="00BA404B" w:rsidTr="007278D4">
        <w:trPr>
          <w:trHeight w:val="565"/>
          <w:jc w:val="center"/>
        </w:trPr>
        <w:tc>
          <w:tcPr>
            <w:tcW w:w="1417" w:type="dxa"/>
            <w:vAlign w:val="center"/>
          </w:tcPr>
          <w:p w:rsidR="007278D4" w:rsidRPr="00BA404B" w:rsidRDefault="007278D4" w:rsidP="007278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11021" w:type="dxa"/>
            <w:vAlign w:val="center"/>
          </w:tcPr>
          <w:p w:rsidR="007278D4" w:rsidRPr="00BA404B" w:rsidRDefault="007278D4" w:rsidP="006B2E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78D4" w:rsidRPr="00BA404B" w:rsidTr="007278D4">
        <w:trPr>
          <w:trHeight w:val="565"/>
          <w:jc w:val="center"/>
        </w:trPr>
        <w:tc>
          <w:tcPr>
            <w:tcW w:w="1417" w:type="dxa"/>
            <w:vAlign w:val="center"/>
          </w:tcPr>
          <w:p w:rsidR="007278D4" w:rsidRPr="00BA404B" w:rsidRDefault="007278D4" w:rsidP="007278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11021" w:type="dxa"/>
            <w:vAlign w:val="center"/>
          </w:tcPr>
          <w:p w:rsidR="007278D4" w:rsidRPr="00BA404B" w:rsidRDefault="007278D4" w:rsidP="006B2E5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278D4" w:rsidRPr="00BA404B" w:rsidTr="007278D4">
        <w:trPr>
          <w:trHeight w:val="565"/>
          <w:jc w:val="center"/>
        </w:trPr>
        <w:tc>
          <w:tcPr>
            <w:tcW w:w="1417" w:type="dxa"/>
            <w:vAlign w:val="center"/>
          </w:tcPr>
          <w:p w:rsidR="007278D4" w:rsidRPr="00BA404B" w:rsidRDefault="007278D4" w:rsidP="007278D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</w:t>
            </w:r>
          </w:p>
        </w:tc>
        <w:tc>
          <w:tcPr>
            <w:tcW w:w="11021" w:type="dxa"/>
            <w:vAlign w:val="center"/>
          </w:tcPr>
          <w:p w:rsidR="007278D4" w:rsidRPr="00BA404B" w:rsidRDefault="007278D4" w:rsidP="006B2E54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B52B7" w:rsidRPr="00BA404B" w:rsidRDefault="002B52B7" w:rsidP="002B52B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Porcentagem de integração de processos (em relação a quantidade de processos críticos):</w:t>
      </w:r>
    </w:p>
    <w:p w:rsidR="002B52B7" w:rsidRDefault="005549D8" w:rsidP="002B52B7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7470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B52B7">
        <w:rPr>
          <w:rFonts w:cstheme="minorHAnsi"/>
          <w:sz w:val="24"/>
          <w:szCs w:val="24"/>
        </w:rPr>
        <w:t xml:space="preserve"> De 1% a 25% (Nível 5)</w:t>
      </w:r>
    </w:p>
    <w:p w:rsidR="002B52B7" w:rsidRDefault="005549D8" w:rsidP="002B52B7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0869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B52B7">
        <w:rPr>
          <w:rFonts w:cstheme="minorHAnsi"/>
          <w:sz w:val="24"/>
          <w:szCs w:val="24"/>
        </w:rPr>
        <w:t xml:space="preserve"> De 26% a 50% (Nível 6)</w:t>
      </w:r>
    </w:p>
    <w:p w:rsidR="008573AA" w:rsidRDefault="005549D8" w:rsidP="009F1B1A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9481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52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B52B7">
        <w:rPr>
          <w:rFonts w:cstheme="minorHAnsi"/>
          <w:sz w:val="24"/>
          <w:szCs w:val="24"/>
        </w:rPr>
        <w:t xml:space="preserve"> De 51% a 100% (Nível 7)</w:t>
      </w:r>
    </w:p>
    <w:p w:rsidR="00486EE3" w:rsidRDefault="00486EE3" w:rsidP="009F1B1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14655" w:type="dxa"/>
        <w:tblLook w:val="04A0" w:firstRow="1" w:lastRow="0" w:firstColumn="1" w:lastColumn="0" w:noHBand="0" w:noVBand="1"/>
      </w:tblPr>
      <w:tblGrid>
        <w:gridCol w:w="2984"/>
        <w:gridCol w:w="1993"/>
        <w:gridCol w:w="4374"/>
        <w:gridCol w:w="5304"/>
      </w:tblGrid>
      <w:tr w:rsidR="00BA404B" w:rsidRPr="00BA404B" w:rsidTr="00705E86">
        <w:trPr>
          <w:trHeight w:val="397"/>
        </w:trPr>
        <w:tc>
          <w:tcPr>
            <w:tcW w:w="2984" w:type="dxa"/>
            <w:shd w:val="clear" w:color="auto" w:fill="2F5496" w:themeFill="accent5" w:themeFillShade="BF"/>
            <w:vAlign w:val="center"/>
          </w:tcPr>
          <w:p w:rsidR="00BA404B" w:rsidRPr="00705E86" w:rsidRDefault="00BA404B" w:rsidP="00BA404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05E8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Processo</w:t>
            </w:r>
          </w:p>
        </w:tc>
        <w:tc>
          <w:tcPr>
            <w:tcW w:w="1993" w:type="dxa"/>
            <w:shd w:val="clear" w:color="auto" w:fill="2F5496" w:themeFill="accent5" w:themeFillShade="BF"/>
            <w:vAlign w:val="center"/>
          </w:tcPr>
          <w:p w:rsidR="00BA404B" w:rsidRPr="00705E86" w:rsidRDefault="00860E74" w:rsidP="00BA404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Unidade integrada</w:t>
            </w:r>
          </w:p>
        </w:tc>
        <w:tc>
          <w:tcPr>
            <w:tcW w:w="4374" w:type="dxa"/>
            <w:shd w:val="clear" w:color="auto" w:fill="2F5496" w:themeFill="accent5" w:themeFillShade="BF"/>
            <w:vAlign w:val="center"/>
          </w:tcPr>
          <w:p w:rsidR="00BA404B" w:rsidRPr="00705E86" w:rsidRDefault="00BA404B" w:rsidP="00BA404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05E8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Ações de Integração realizadas</w:t>
            </w:r>
          </w:p>
        </w:tc>
        <w:tc>
          <w:tcPr>
            <w:tcW w:w="5304" w:type="dxa"/>
            <w:shd w:val="clear" w:color="auto" w:fill="2F5496" w:themeFill="accent5" w:themeFillShade="BF"/>
            <w:vAlign w:val="center"/>
          </w:tcPr>
          <w:p w:rsidR="00BA404B" w:rsidRPr="00705E86" w:rsidRDefault="00BA404B" w:rsidP="00BA404B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05E8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Informações extras sobre as ações</w:t>
            </w:r>
          </w:p>
        </w:tc>
      </w:tr>
      <w:tr w:rsidR="00BA404B" w:rsidRPr="00BA404B" w:rsidTr="00705E86">
        <w:trPr>
          <w:trHeight w:val="1693"/>
        </w:trPr>
        <w:tc>
          <w:tcPr>
            <w:tcW w:w="2984" w:type="dxa"/>
            <w:vAlign w:val="center"/>
          </w:tcPr>
          <w:p w:rsidR="00BA404B" w:rsidRPr="00BA404B" w:rsidRDefault="00BA404B" w:rsidP="00BA404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3" w:type="dxa"/>
            <w:vAlign w:val="center"/>
          </w:tcPr>
          <w:p w:rsidR="00BA404B" w:rsidRPr="00BA404B" w:rsidRDefault="00BA404B" w:rsidP="00BA404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  <w:vAlign w:val="center"/>
          </w:tcPr>
          <w:p w:rsidR="00BA404B" w:rsidRDefault="005549D8" w:rsidP="00BA404B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4725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FA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404B" w:rsidRPr="00BA404B">
              <w:rPr>
                <w:rFonts w:cstheme="minorHAnsi"/>
                <w:sz w:val="24"/>
                <w:szCs w:val="24"/>
              </w:rPr>
              <w:t xml:space="preserve"> Reunião de integração</w:t>
            </w:r>
          </w:p>
          <w:p w:rsidR="00EA6512" w:rsidRPr="006E7FA9" w:rsidRDefault="005549D8" w:rsidP="00BA404B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695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2" w:rsidRPr="006E7FA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A6512" w:rsidRPr="006E7FA9">
              <w:rPr>
                <w:rFonts w:cstheme="minorHAnsi"/>
                <w:sz w:val="24"/>
                <w:szCs w:val="24"/>
              </w:rPr>
              <w:t xml:space="preserve"> Alinhamento entre as unidades realizado por e-mail</w:t>
            </w:r>
          </w:p>
          <w:p w:rsidR="00BA404B" w:rsidRPr="00BA404B" w:rsidRDefault="005549D8" w:rsidP="00BA404B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2827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2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A404B" w:rsidRPr="00BA404B">
              <w:rPr>
                <w:rFonts w:cstheme="minorHAnsi"/>
                <w:sz w:val="24"/>
                <w:szCs w:val="24"/>
              </w:rPr>
              <w:t xml:space="preserve">Modificações no diagrama do processo conforme combinado com </w:t>
            </w:r>
            <w:r w:rsidR="00860E74">
              <w:rPr>
                <w:rFonts w:cstheme="minorHAnsi"/>
                <w:sz w:val="24"/>
                <w:szCs w:val="24"/>
              </w:rPr>
              <w:t>unidade</w:t>
            </w:r>
            <w:r w:rsidR="00BA404B" w:rsidRPr="00BA404B">
              <w:rPr>
                <w:rFonts w:cstheme="minorHAnsi"/>
                <w:sz w:val="24"/>
                <w:szCs w:val="24"/>
              </w:rPr>
              <w:t xml:space="preserve"> integrad</w:t>
            </w:r>
            <w:r w:rsidR="00860E74">
              <w:rPr>
                <w:rFonts w:cstheme="minorHAnsi"/>
                <w:sz w:val="24"/>
                <w:szCs w:val="24"/>
              </w:rPr>
              <w:t>a</w:t>
            </w:r>
          </w:p>
          <w:p w:rsidR="00BA404B" w:rsidRPr="00EA6512" w:rsidRDefault="005549D8" w:rsidP="006E7FA9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4904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2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2B52B7">
              <w:rPr>
                <w:rFonts w:cstheme="minorHAnsi"/>
                <w:sz w:val="24"/>
                <w:szCs w:val="24"/>
              </w:rPr>
              <w:t xml:space="preserve"> Integração de diagramas </w:t>
            </w:r>
            <w:r w:rsidR="002B52B7" w:rsidRPr="00EA6512">
              <w:rPr>
                <w:rFonts w:cstheme="minorHAnsi"/>
                <w:sz w:val="24"/>
                <w:szCs w:val="24"/>
              </w:rPr>
              <w:t>utilizando</w:t>
            </w:r>
            <w:r w:rsidR="006E7FA9">
              <w:rPr>
                <w:rFonts w:cstheme="minorHAnsi"/>
                <w:sz w:val="24"/>
                <w:szCs w:val="24"/>
              </w:rPr>
              <w:t xml:space="preserve"> </w:t>
            </w:r>
            <w:r w:rsidR="00EA6512" w:rsidRPr="006E7FA9">
              <w:rPr>
                <w:rFonts w:cstheme="minorHAnsi"/>
                <w:color w:val="000000" w:themeColor="text1"/>
                <w:sz w:val="24"/>
                <w:szCs w:val="24"/>
              </w:rPr>
              <w:t>a vinculação (o diagrama de uma das unidades cita o processo da outra unidade)</w:t>
            </w:r>
          </w:p>
        </w:tc>
        <w:tc>
          <w:tcPr>
            <w:tcW w:w="5304" w:type="dxa"/>
            <w:vAlign w:val="center"/>
          </w:tcPr>
          <w:p w:rsidR="00BA404B" w:rsidRPr="00BA404B" w:rsidRDefault="00BA404B" w:rsidP="00BA404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A404B" w:rsidRPr="00BA404B" w:rsidTr="00705E86">
        <w:trPr>
          <w:trHeight w:val="1774"/>
        </w:trPr>
        <w:tc>
          <w:tcPr>
            <w:tcW w:w="2984" w:type="dxa"/>
          </w:tcPr>
          <w:p w:rsidR="00BA404B" w:rsidRPr="00BA404B" w:rsidRDefault="00BA404B" w:rsidP="007C49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404B" w:rsidRPr="00BA404B" w:rsidRDefault="00BA404B" w:rsidP="007C49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74" w:type="dxa"/>
          </w:tcPr>
          <w:p w:rsidR="00EA6512" w:rsidRDefault="005549D8" w:rsidP="00EA6512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5250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A6512" w:rsidRPr="00BA404B">
              <w:rPr>
                <w:rFonts w:cstheme="minorHAnsi"/>
                <w:sz w:val="24"/>
                <w:szCs w:val="24"/>
              </w:rPr>
              <w:t xml:space="preserve"> Reunião de integração</w:t>
            </w:r>
          </w:p>
          <w:p w:rsidR="00EA6512" w:rsidRPr="005549D8" w:rsidRDefault="005549D8" w:rsidP="00EA6512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9884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2" w:rsidRPr="005549D8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EA6512" w:rsidRPr="005549D8">
              <w:rPr>
                <w:rFonts w:cstheme="minorHAnsi"/>
                <w:color w:val="000000" w:themeColor="text1"/>
                <w:sz w:val="24"/>
                <w:szCs w:val="24"/>
              </w:rPr>
              <w:t xml:space="preserve"> Alinhamento entre as unidades realizado por e-mail</w:t>
            </w:r>
          </w:p>
          <w:p w:rsidR="00EA6512" w:rsidRPr="00BA404B" w:rsidRDefault="005549D8" w:rsidP="00EA6512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58311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A6512" w:rsidRPr="00BA404B">
              <w:rPr>
                <w:rFonts w:cstheme="minorHAnsi"/>
                <w:sz w:val="24"/>
                <w:szCs w:val="24"/>
              </w:rPr>
              <w:t xml:space="preserve">Modificações no diagrama do processo conforme combinado com </w:t>
            </w:r>
            <w:r w:rsidR="00EA6512">
              <w:rPr>
                <w:rFonts w:cstheme="minorHAnsi"/>
                <w:sz w:val="24"/>
                <w:szCs w:val="24"/>
              </w:rPr>
              <w:t>unidade</w:t>
            </w:r>
            <w:r w:rsidR="00EA6512" w:rsidRPr="00BA404B">
              <w:rPr>
                <w:rFonts w:cstheme="minorHAnsi"/>
                <w:sz w:val="24"/>
                <w:szCs w:val="24"/>
              </w:rPr>
              <w:t xml:space="preserve"> integrad</w:t>
            </w:r>
            <w:r w:rsidR="00EA6512">
              <w:rPr>
                <w:rFonts w:cstheme="minorHAnsi"/>
                <w:sz w:val="24"/>
                <w:szCs w:val="24"/>
              </w:rPr>
              <w:t>a</w:t>
            </w:r>
          </w:p>
          <w:p w:rsidR="00BA404B" w:rsidRPr="00BA404B" w:rsidRDefault="005549D8" w:rsidP="00EA6512">
            <w:pPr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1322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51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A6512">
              <w:rPr>
                <w:rFonts w:cstheme="minorHAnsi"/>
                <w:sz w:val="24"/>
                <w:szCs w:val="24"/>
              </w:rPr>
              <w:t xml:space="preserve"> Integração de diagramas </w:t>
            </w:r>
            <w:r w:rsidR="00EA6512" w:rsidRPr="005549D8">
              <w:rPr>
                <w:rFonts w:cstheme="minorHAnsi"/>
                <w:color w:val="000000" w:themeColor="text1"/>
                <w:sz w:val="24"/>
                <w:szCs w:val="24"/>
              </w:rPr>
              <w:t>utilizando</w:t>
            </w:r>
            <w:r w:rsidRPr="005549D8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A6512" w:rsidRPr="005549D8">
              <w:rPr>
                <w:rFonts w:cstheme="minorHAnsi"/>
                <w:color w:val="000000" w:themeColor="text1"/>
                <w:sz w:val="24"/>
                <w:szCs w:val="24"/>
              </w:rPr>
              <w:t>a vinculação (o diagrama de uma das unidades cita o processo da outra unidade)</w:t>
            </w:r>
          </w:p>
        </w:tc>
        <w:tc>
          <w:tcPr>
            <w:tcW w:w="5304" w:type="dxa"/>
          </w:tcPr>
          <w:p w:rsidR="00BA404B" w:rsidRPr="00BA404B" w:rsidRDefault="00BA404B" w:rsidP="007C496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744429" w:rsidRDefault="00744429" w:rsidP="009F1B1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744429" w:rsidSect="002B52B7">
      <w:head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701" w:right="1134" w:bottom="851" w:left="1134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B7" w:rsidRDefault="002B52B7" w:rsidP="0093309B">
      <w:pPr>
        <w:spacing w:after="0" w:line="240" w:lineRule="auto"/>
      </w:pPr>
      <w:r>
        <w:separator/>
      </w:r>
    </w:p>
  </w:endnote>
  <w:endnote w:type="continuationSeparator" w:id="0">
    <w:p w:rsidR="002B52B7" w:rsidRDefault="002B52B7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B7" w:rsidRPr="000638A4" w:rsidRDefault="002B52B7" w:rsidP="003F0000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jc w:val="center"/>
      <w:rPr>
        <w:rFonts w:ascii="Times New Roman" w:hAnsi="Times New Roman" w:cs="Times New Roman"/>
        <w:color w:val="292929"/>
        <w:sz w:val="16"/>
        <w:szCs w:val="16"/>
      </w:rPr>
    </w:pPr>
    <w:r w:rsidRPr="00744429">
      <w:rPr>
        <w:rFonts w:cstheme="minorHAnsi"/>
        <w:color w:val="292929"/>
        <w:sz w:val="18"/>
        <w:szCs w:val="18"/>
      </w:rPr>
      <w:t>Rua Sarmento Leite, 245 – Centro histórico – 90050-170 – Porto Alegre (RS) – Tel. (51) 3303-8700 – www.ufcspa.edu.br</w:t>
    </w:r>
    <w:r w:rsidRPr="000638A4">
      <w:rPr>
        <w:rFonts w:ascii="Times New Roman" w:hAnsi="Times New Roman" w:cs="Times New Roman"/>
        <w:color w:val="292929"/>
        <w:sz w:val="16"/>
        <w:szCs w:val="16"/>
      </w:rPr>
      <w:tab/>
    </w:r>
    <w:r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5549D8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5549D8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B7" w:rsidRPr="00A814A1" w:rsidRDefault="002B52B7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align>center</wp:align>
              </wp:positionH>
              <wp:positionV relativeFrom="paragraph">
                <wp:posOffset>-53340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2B7" w:rsidRPr="00A814A1" w:rsidRDefault="002B52B7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0;margin-top:-4.2pt;width:437.4pt;height:30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Kj5VdrcAAAABgEAAA8AAABk&#10;cnMvZG93bnJldi54bWxMj8FOwzAQRO9I/IO1SNxah1JolMapKhA3QGop6tWJlzhqvI5spw1/z3KC&#10;42hGM2/KzeR6ccYQO08K7uYZCKTGm45aBYePl1kOIiZNRveeUME3RthU11elLoy/0A7P+9QKLqFY&#10;aAU2paGQMjYWnY5zPyCx9+WD04llaKUJ+sLlrpeLLHuUTnfEC1YP+GSxOe1Hp2BVPx/G+/g6mixu&#10;3z9N2J2Ob1ap25tpuwaRcEp/YfjFZ3SomKn2I5koegV8JCmY5UsQ7OarJR+pFTwscpBVKf/jVz8A&#10;AAD//wMAUEsBAi0AFAAGAAgAAAAhALaDOJL+AAAA4QEAABMAAAAAAAAAAAAAAAAAAAAAAFtDb250&#10;ZW50X1R5cGVzXS54bWxQSwECLQAUAAYACAAAACEAOP0h/9YAAACUAQAACwAAAAAAAAAAAAAAAAAv&#10;AQAAX3JlbHMvLnJlbHNQSwECLQAUAAYACAAAACEAUhbeZ8IBAABeAwAADgAAAAAAAAAAAAAAAAAu&#10;AgAAZHJzL2Uyb0RvYy54bWxQSwECLQAUAAYACAAAACEAqPlV2twAAAAGAQAADwAAAAAAAAAAAAAA&#10;AAAcBAAAZHJzL2Rvd25yZXYueG1sUEsFBgAAAAAEAAQA8wAAACUFAAAAAA==&#10;" filled="f" stroked="f">
              <v:path arrowok="t"/>
              <o:lock v:ext="edit" grouping="t"/>
              <v:textbox>
                <w:txbxContent>
                  <w:p w:rsidR="002B52B7" w:rsidRPr="00A814A1" w:rsidRDefault="002B52B7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B7" w:rsidRDefault="002B52B7" w:rsidP="0093309B">
      <w:pPr>
        <w:spacing w:after="0" w:line="240" w:lineRule="auto"/>
      </w:pPr>
      <w:r>
        <w:separator/>
      </w:r>
    </w:p>
  </w:footnote>
  <w:footnote w:type="continuationSeparator" w:id="0">
    <w:p w:rsidR="002B52B7" w:rsidRDefault="002B52B7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B7" w:rsidRDefault="005549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2B7" w:rsidRDefault="002B52B7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9B"/>
    <w:rsid w:val="00030EC1"/>
    <w:rsid w:val="000638A4"/>
    <w:rsid w:val="001456AE"/>
    <w:rsid w:val="001817E1"/>
    <w:rsid w:val="001E0421"/>
    <w:rsid w:val="00272BD1"/>
    <w:rsid w:val="002B52B7"/>
    <w:rsid w:val="002D2F75"/>
    <w:rsid w:val="003F0000"/>
    <w:rsid w:val="00486EE3"/>
    <w:rsid w:val="004E4FB8"/>
    <w:rsid w:val="005549D8"/>
    <w:rsid w:val="006B20C5"/>
    <w:rsid w:val="006E7FA9"/>
    <w:rsid w:val="00705E86"/>
    <w:rsid w:val="007278D4"/>
    <w:rsid w:val="00744429"/>
    <w:rsid w:val="007C4963"/>
    <w:rsid w:val="007D1447"/>
    <w:rsid w:val="00806AA3"/>
    <w:rsid w:val="00816F8C"/>
    <w:rsid w:val="00817047"/>
    <w:rsid w:val="008573AA"/>
    <w:rsid w:val="00860E74"/>
    <w:rsid w:val="00891C62"/>
    <w:rsid w:val="0093309B"/>
    <w:rsid w:val="00943F1B"/>
    <w:rsid w:val="009A55EB"/>
    <w:rsid w:val="009E02E2"/>
    <w:rsid w:val="009F1B1A"/>
    <w:rsid w:val="009F633A"/>
    <w:rsid w:val="00A06285"/>
    <w:rsid w:val="00A43A52"/>
    <w:rsid w:val="00A814A1"/>
    <w:rsid w:val="00AA4658"/>
    <w:rsid w:val="00B30313"/>
    <w:rsid w:val="00B6523D"/>
    <w:rsid w:val="00B879B6"/>
    <w:rsid w:val="00BA404B"/>
    <w:rsid w:val="00BC2C6A"/>
    <w:rsid w:val="00D54437"/>
    <w:rsid w:val="00D7481B"/>
    <w:rsid w:val="00EA6512"/>
    <w:rsid w:val="00EF6704"/>
    <w:rsid w:val="00F9682E"/>
    <w:rsid w:val="00FC5E99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D87D237"/>
  <w15:chartTrackingRefBased/>
  <w15:docId w15:val="{DC0DEC9E-F260-4399-BE09-260D08E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D1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54437"/>
    <w:rPr>
      <w:color w:val="808080"/>
    </w:rPr>
  </w:style>
  <w:style w:type="character" w:customStyle="1" w:styleId="Estilo1">
    <w:name w:val="Estilo1"/>
    <w:basedOn w:val="Fontepargpadro"/>
    <w:uiPriority w:val="1"/>
    <w:rsid w:val="00BA404B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17D0B5F38241EAB79F19CF014B1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F6BB4D-88FD-4DFF-8906-ADA5DD969111}"/>
      </w:docPartPr>
      <w:docPartBody>
        <w:p w:rsidR="00A30A80" w:rsidRDefault="00784340" w:rsidP="00784340">
          <w:pPr>
            <w:pStyle w:val="2717D0B5F38241EAB79F19CF014B127B"/>
          </w:pPr>
          <w:r>
            <w:rPr>
              <w:rStyle w:val="TextodoEspaoReservado"/>
            </w:rPr>
            <w:t>[Nome Do Setor / Departamento / Divisão / Unidade]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EE"/>
    <w:rsid w:val="00253AEE"/>
    <w:rsid w:val="00784340"/>
    <w:rsid w:val="00A3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4340"/>
  </w:style>
  <w:style w:type="paragraph" w:customStyle="1" w:styleId="FD56683D826C44E19AE2F05EC7FC67AB">
    <w:name w:val="FD56683D826C44E19AE2F05EC7FC67AB"/>
    <w:rsid w:val="00253AEE"/>
    <w:rPr>
      <w:rFonts w:eastAsiaTheme="minorHAnsi"/>
      <w:lang w:eastAsia="en-US"/>
    </w:rPr>
  </w:style>
  <w:style w:type="paragraph" w:customStyle="1" w:styleId="B6A8485BDB594940912F3FEDEE22B0CB">
    <w:name w:val="B6A8485BDB594940912F3FEDEE22B0CB"/>
    <w:rsid w:val="00253AEE"/>
  </w:style>
  <w:style w:type="paragraph" w:customStyle="1" w:styleId="EB83F3AEB12E403E8449FB58E535D352">
    <w:name w:val="EB83F3AEB12E403E8449FB58E535D352"/>
    <w:rsid w:val="00784340"/>
  </w:style>
  <w:style w:type="paragraph" w:customStyle="1" w:styleId="2717D0B5F38241EAB79F19CF014B127B">
    <w:name w:val="2717D0B5F38241EAB79F19CF014B127B"/>
    <w:rsid w:val="00784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Andressa Luiza Bortolaso de Oliveira</cp:lastModifiedBy>
  <cp:revision>13</cp:revision>
  <cp:lastPrinted>2020-01-07T17:37:00Z</cp:lastPrinted>
  <dcterms:created xsi:type="dcterms:W3CDTF">2020-01-07T17:04:00Z</dcterms:created>
  <dcterms:modified xsi:type="dcterms:W3CDTF">2026-03-17T18:41:00Z</dcterms:modified>
</cp:coreProperties>
</file>